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88DE18"/>
          <w:sz w:val="20"/>
        </w:rPr>
        <w:t>РОБОЧИЙ ДОКУМЕНТ</w:t>
      </w:r>
    </w:p>
    <w:p>
      <w:pPr>
        <w:spacing w:after="160"/>
      </w:pPr>
      <w:r>
        <w:rPr>
          <w:rFonts w:ascii="Calibri" w:hAnsi="Calibri"/>
          <w:b/>
          <w:color w:val="102126"/>
          <w:sz w:val="56"/>
        </w:rPr>
        <w:t>SLA та KPI</w:t>
      </w:r>
    </w:p>
    <w:p>
      <w:pPr>
        <w:spacing w:after="360"/>
      </w:pPr>
      <w:r>
        <w:rPr>
          <w:rFonts w:ascii="Calibri" w:hAnsi="Calibri"/>
          <w:color w:val="5B686C"/>
          <w:sz w:val="26"/>
        </w:rPr>
        <w:t>Шаблон контролю якості клінінгу великих об’єктів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  <w:tblHeader w:val="true"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b/>
                <w:color w:val="FFFFFF"/>
              </w:rPr>
              <w:t>Призначення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color w:val="071316"/>
              </w:rPr>
              <w:t>Погодити вимірювані критерії сервісу, докази виконання, відповідальних і порядок реакції.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b/>
                <w:color w:val="FFFFFF"/>
              </w:rPr>
              <w:t>Формат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color w:val="071316"/>
              </w:rPr>
              <w:t>Заповнюється замовником і командою виконавця перед оцінкою та погодженням робіт</w:t>
            </w:r>
          </w:p>
        </w:tc>
      </w:tr>
    </w:tbl>
    <w:p/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rFonts w:ascii="Calibri" w:hAnsi="Calibri"/>
                <w:color w:val="102126"/>
                <w:sz w:val="20"/>
              </w:rPr>
              <w:t>Це нейтральний шаблон. Значення, строки реакції та відповідальні набувають сили тільки після заповнення і підписання сторонами.</w:t>
            </w:r>
          </w:p>
        </w:tc>
      </w:tr>
    </w:tbl>
    <w:p>
      <w:pPr>
        <w:pStyle w:val="Heading2"/>
      </w:pPr>
      <w:r>
        <w:t>1. Межі сервісу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Замовник / виконавець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Об’єкт / адреса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Період дії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 ____________ до 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Зони в периметрі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Зони поза периметром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Робочі вікна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>
      <w:pPr>
        <w:pStyle w:val="Heading2"/>
      </w:pPr>
      <w:r>
        <w:t>2. Матриця робіт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600"/>
        <w:gridCol w:w="2360"/>
        <w:gridCol w:w="1500"/>
        <w:gridCol w:w="2100"/>
        <w:gridCol w:w="1800"/>
      </w:tblGrid>
      <w:tr>
        <w:trPr>
          <w:cantSplit/>
          <w:tblHeader w:val="true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Зона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Операція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Частота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Метод / засіб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Доказ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3. KPI якості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1100"/>
        <w:gridCol w:w="2360"/>
        <w:gridCol w:w="2000"/>
        <w:gridCol w:w="1900"/>
      </w:tblGrid>
      <w:tr>
        <w:trPr>
          <w:cantSplit/>
          <w:tblHeader w:val="true"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Показник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Ціль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Метод вимірювання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Джерело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Періодичність</w:t>
            </w:r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Виконання планових робіт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план/факт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журнал робіт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Зауваження під час аудиту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чек-лист зон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звіт аудиту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Строк усунення дефектів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час відкриття/закриття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реєстр звернень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Стан техніки та інвентарю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огляд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журнал техніки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Інше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4. Пріоритети та реакція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2600"/>
        <w:gridCol w:w="2100"/>
        <w:gridCol w:w="1600"/>
        <w:gridCol w:w="1660"/>
      </w:tblGrid>
      <w:tr>
        <w:trPr>
          <w:cantSplit/>
          <w:tblHeader w:val="true"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Пріоритет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Критерій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Підтвердження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Строк реакції</w:t>
            </w:r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Строк усунення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Критичний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ризик безпеці або зупинка процесу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фото/акт/повідомлення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Високий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суттєве порушення погодженої якості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чек-лист/фото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Звичайний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локальне зауваження без ризику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запис у реєстрі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5. Контроль і звітність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Частота спільних аудитів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Формат щоденного/тижневого звіту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Канал фіксації звернень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Погоджені докази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чек-лист / фото / журнал / акт / інше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Строк зберігання звітів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>
      <w:pPr>
        <w:pStyle w:val="Heading2"/>
      </w:pPr>
      <w:r>
        <w:t>6. Ескалація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2100"/>
        <w:gridCol w:w="2100"/>
        <w:gridCol w:w="1660"/>
        <w:gridCol w:w="2600"/>
      </w:tblGrid>
      <w:tr>
        <w:trPr>
          <w:cantSplit/>
          <w:tblHeader w:val="true"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Рівень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Роль замовника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Роль виконавця</w:t>
            </w:r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Канал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Коли застосовується</w:t>
            </w:r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1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3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2"/>
      </w:pPr>
      <w:r>
        <w:t>7. Зміни та погодження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Поле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Дані для заповнення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Як подається зміна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письмовий запит із причиною, обсягом і датою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Хто погоджує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Як змінюється ціна/ресурс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після окремого розрахунку та письмового погодження</w:t>
            </w:r>
          </w:p>
        </w:tc>
      </w:tr>
      <w:tr>
        <w:trPr>
          <w:cantSplit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b/>
              </w:rPr>
              <w:t>Дата наступного перегляду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>
      <w:pPr>
        <w:pStyle w:val="Heading2"/>
      </w:pPr>
      <w:r>
        <w:t>8. Підписи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460"/>
        <w:gridCol w:w="2000"/>
        <w:gridCol w:w="2000"/>
      </w:tblGrid>
      <w:tr>
        <w:trPr>
          <w:cantSplit/>
          <w:tblHeader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Сторона</w:t>
            </w:r>
          </w:p>
        </w:tc>
        <w:tc>
          <w:tcPr>
            <w:tcW w:type="dxa" w:w="3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ПІБ / посада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Підпис</w:t>
            </w:r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126"/>
          </w:tcPr>
          <w:p>
            <w:r>
              <w:rPr>
                <w:rFonts w:ascii="Calibri" w:hAnsi="Calibri"/>
                <w:b/>
                <w:color w:val="FFFFFF"/>
              </w:rPr>
              <w:t>Дата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Замовник</w:t>
            </w:r>
          </w:p>
        </w:tc>
        <w:tc>
          <w:tcPr>
            <w:tcW w:type="dxa" w:w="3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Виконавець</w:t>
            </w:r>
          </w:p>
        </w:tc>
        <w:tc>
          <w:tcPr>
            <w:tcW w:type="dxa" w:w="3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5B686C"/>
        <w:sz w:val="18"/>
      </w:rPr>
      <w:t xml:space="preserve">Сторінка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Calibri" w:hAnsi="Calibri"/>
        <w:b/>
        <w:color w:val="102126"/>
        <w:sz w:val="18"/>
      </w:rPr>
      <w:t>B2B CLEAN UKRAINE</w:t>
    </w:r>
    <w:r>
      <w:rPr>
        <w:rFonts w:ascii="Calibri" w:hAnsi="Calibri"/>
        <w:color w:val="5B686C"/>
        <w:sz w:val="18"/>
      </w:rPr>
      <w:t xml:space="preserve">  •  SLA/KPI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07131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0212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021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5B686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SLA та KPI для клінінгового проєкту</dc:title>
  <dc:subject>Робочий шаблон для комерційного та промислового клінінгу</dc:subject>
  <dc:creator>B2B Clean Ukraine</dc:creator>
  <cp:keywords>B2B клінінг, тендер, SLA, KPI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